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58DC" w14:textId="6EA8F5B6" w:rsidR="00CC6F96" w:rsidRDefault="001403A3" w:rsidP="00380A7F">
      <w:pPr>
        <w:pStyle w:val="Heading1"/>
      </w:pPr>
      <w:r>
        <w:t>TxCDBG Closeouts for Migrated Grants</w:t>
      </w:r>
    </w:p>
    <w:p w14:paraId="113698E4" w14:textId="7280E0B0" w:rsidR="00380A7F" w:rsidRDefault="00380A7F"/>
    <w:p w14:paraId="5538B50D" w14:textId="57AFE529" w:rsidR="00A9277E" w:rsidRDefault="00A9277E" w:rsidP="00A9277E">
      <w:pPr>
        <w:pStyle w:val="Heading2"/>
      </w:pPr>
      <w:r>
        <w:t>Use Grant Overview Reports to prepare for Closeout</w:t>
      </w:r>
    </w:p>
    <w:p w14:paraId="7367A530" w14:textId="3738DBAA" w:rsidR="00A9277E" w:rsidRDefault="00A9277E">
      <w:r>
        <w:t>The reports located at the bottom of the Grant Overview page of the Application/Grant mirror those the Authorized Official will certify during the closeout process.  Be sure to access these reports early to ensure complete and accurate information is reported.</w:t>
      </w:r>
    </w:p>
    <w:p w14:paraId="1B4FD629" w14:textId="0AFD7653" w:rsidR="00A9277E" w:rsidRDefault="00754676" w:rsidP="00A9277E">
      <w:pPr>
        <w:pStyle w:val="ListParagraph"/>
        <w:numPr>
          <w:ilvl w:val="0"/>
          <w:numId w:val="7"/>
        </w:numPr>
      </w:pPr>
      <w:r>
        <w:t>For migrated grants, the reports marked below will provide limited meaningful information; if no data is reported, the report will not generate and may redirect to another page.</w:t>
      </w:r>
    </w:p>
    <w:p w14:paraId="561B164C" w14:textId="78A464C6" w:rsidR="00A9277E" w:rsidRDefault="00754676" w:rsidP="000F0618">
      <w:pPr>
        <w:ind w:firstLine="720"/>
      </w:pPr>
      <w:r>
        <w:rPr>
          <w:noProof/>
        </w:rPr>
        <w:drawing>
          <wp:inline distT="0" distB="0" distL="0" distR="0" wp14:anchorId="55BAF81D" wp14:editId="3EED2FCD">
            <wp:extent cx="3784570" cy="2495550"/>
            <wp:effectExtent l="0" t="0" r="6985" b="0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 rotWithShape="1">
                    <a:blip r:embed="rId5"/>
                    <a:srcRect t="5755"/>
                    <a:stretch/>
                  </pic:blipFill>
                  <pic:spPr bwMode="auto">
                    <a:xfrm>
                      <a:off x="0" y="0"/>
                      <a:ext cx="3789858" cy="249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0AC88" w14:textId="77777777" w:rsidR="00A9277E" w:rsidRDefault="00A9277E"/>
    <w:p w14:paraId="06CB1399" w14:textId="003F7137" w:rsidR="001403A3" w:rsidRDefault="001403A3" w:rsidP="00380A7F">
      <w:pPr>
        <w:pStyle w:val="Heading2"/>
      </w:pPr>
      <w:r>
        <w:t xml:space="preserve">Verify </w:t>
      </w:r>
      <w:r w:rsidR="00380A7F">
        <w:t>all costs are eligible</w:t>
      </w:r>
    </w:p>
    <w:p w14:paraId="5BD124A7" w14:textId="7A622283" w:rsidR="00AC3362" w:rsidRDefault="00380A7F" w:rsidP="00380A7F">
      <w:r>
        <w:t xml:space="preserve">Eligible costs must be reported </w:t>
      </w:r>
      <w:r w:rsidR="00AC3362">
        <w:t>in one of two locations in TDA-GO:</w:t>
      </w:r>
    </w:p>
    <w:p w14:paraId="05B9BBC6" w14:textId="41A2DF84" w:rsidR="00AC3362" w:rsidRDefault="00380A7F" w:rsidP="00AC3362">
      <w:pPr>
        <w:pStyle w:val="ListParagraph"/>
        <w:numPr>
          <w:ilvl w:val="0"/>
          <w:numId w:val="2"/>
        </w:numPr>
      </w:pPr>
      <w:r>
        <w:t>Materials and Services Report</w:t>
      </w:r>
      <w:r w:rsidR="00AC3362">
        <w:t xml:space="preserve"> (MSR), or</w:t>
      </w:r>
    </w:p>
    <w:p w14:paraId="2168F2DF" w14:textId="115B5266" w:rsidR="00AC3362" w:rsidRPr="00AC3362" w:rsidRDefault="00AC3362" w:rsidP="00AC3362">
      <w:pPr>
        <w:pStyle w:val="ListParagraph"/>
        <w:numPr>
          <w:ilvl w:val="0"/>
          <w:numId w:val="2"/>
        </w:numPr>
      </w:pPr>
      <w:r>
        <w:t xml:space="preserve">Grant Overview page - </w:t>
      </w:r>
      <w:r w:rsidRPr="00AC3362">
        <w:t>Eligible Costs not Reported on MSR</w:t>
      </w:r>
      <w:r>
        <w:t xml:space="preserve"> section</w:t>
      </w:r>
    </w:p>
    <w:p w14:paraId="1A3CF10C" w14:textId="4D59682F" w:rsidR="00AC3362" w:rsidRDefault="001403A3" w:rsidP="00AC3362">
      <w:r>
        <w:t>Confirm</w:t>
      </w:r>
      <w:r w:rsidR="00AC3362">
        <w:t xml:space="preserve"> that</w:t>
      </w:r>
      <w:r>
        <w:t xml:space="preserve"> all </w:t>
      </w:r>
      <w:r w:rsidR="00AC3362">
        <w:t>MSRs</w:t>
      </w:r>
      <w:r>
        <w:t xml:space="preserve"> </w:t>
      </w:r>
      <w:r w:rsidR="00581337">
        <w:t>are in MSR Contract Complete Status</w:t>
      </w:r>
      <w:r w:rsidR="00AC3362">
        <w:t>.</w:t>
      </w:r>
    </w:p>
    <w:p w14:paraId="0E4CF1DE" w14:textId="22538D58" w:rsidR="001403A3" w:rsidRDefault="00AC3362" w:rsidP="00AC3362">
      <w:pPr>
        <w:pStyle w:val="ListParagraph"/>
        <w:numPr>
          <w:ilvl w:val="0"/>
          <w:numId w:val="2"/>
        </w:numPr>
      </w:pPr>
      <w:r>
        <w:t>C</w:t>
      </w:r>
      <w:r w:rsidR="00C03E39">
        <w:t>reate a new form for any missing prime contractors/vendors</w:t>
      </w:r>
      <w:r>
        <w:t>.</w:t>
      </w:r>
    </w:p>
    <w:p w14:paraId="15ABC177" w14:textId="336F1607" w:rsidR="001403A3" w:rsidRDefault="001403A3" w:rsidP="00380A7F">
      <w:pPr>
        <w:pStyle w:val="ListParagraph"/>
        <w:numPr>
          <w:ilvl w:val="0"/>
          <w:numId w:val="2"/>
        </w:numPr>
      </w:pPr>
      <w:r>
        <w:t xml:space="preserve">Confirm </w:t>
      </w:r>
      <w:r w:rsidR="00AC3362">
        <w:t xml:space="preserve">the </w:t>
      </w:r>
      <w:r>
        <w:t xml:space="preserve">final contract amount and cost distribution </w:t>
      </w:r>
      <w:r w:rsidR="000F0618">
        <w:t xml:space="preserve">are accurate for each MSR </w:t>
      </w:r>
      <w:r>
        <w:t xml:space="preserve">– submit </w:t>
      </w:r>
      <w:r w:rsidR="00AC3362">
        <w:t xml:space="preserve">a </w:t>
      </w:r>
      <w:r>
        <w:t>change order if appropriate</w:t>
      </w:r>
      <w:r w:rsidR="00AC3362">
        <w:t>.</w:t>
      </w:r>
    </w:p>
    <w:p w14:paraId="22B8466E" w14:textId="5D5FB008" w:rsidR="001403A3" w:rsidRDefault="0038549B" w:rsidP="00380A7F">
      <w:pPr>
        <w:pStyle w:val="ListParagraph"/>
        <w:numPr>
          <w:ilvl w:val="0"/>
          <w:numId w:val="2"/>
        </w:numPr>
      </w:pPr>
      <w:r>
        <w:t>Status Change</w:t>
      </w:r>
      <w:r w:rsidR="00C03E39">
        <w:t xml:space="preserve"> the</w:t>
      </w:r>
      <w:r>
        <w:t xml:space="preserve"> MSR - click “Begin </w:t>
      </w:r>
      <w:r w:rsidR="00AC3362">
        <w:t>MSR Completion Report</w:t>
      </w:r>
      <w:r>
        <w:t xml:space="preserve">” </w:t>
      </w:r>
    </w:p>
    <w:p w14:paraId="275486FD" w14:textId="5D9E0FD3" w:rsidR="0038549B" w:rsidRDefault="00581337" w:rsidP="00581337">
      <w:pPr>
        <w:pStyle w:val="ListParagraph"/>
        <w:numPr>
          <w:ilvl w:val="1"/>
          <w:numId w:val="2"/>
        </w:numPr>
      </w:pPr>
      <w:r>
        <w:t>Complete the Final Wage Compliance (if applicable) and Work Completed pages</w:t>
      </w:r>
    </w:p>
    <w:p w14:paraId="548B21B8" w14:textId="26D4F76D" w:rsidR="0038549B" w:rsidRDefault="0038549B" w:rsidP="00581337">
      <w:pPr>
        <w:pStyle w:val="ListParagraph"/>
        <w:numPr>
          <w:ilvl w:val="1"/>
          <w:numId w:val="2"/>
        </w:numPr>
      </w:pPr>
      <w:r>
        <w:t>For construction contracts, generate and upload COCC (Form A709 will be accepted only if signed prior to the migration date, July 7, 2022)</w:t>
      </w:r>
    </w:p>
    <w:p w14:paraId="5324DD79" w14:textId="79FEB54D" w:rsidR="0038549B" w:rsidRDefault="0038549B" w:rsidP="00380A7F">
      <w:pPr>
        <w:pStyle w:val="ListParagraph"/>
        <w:numPr>
          <w:ilvl w:val="0"/>
          <w:numId w:val="2"/>
        </w:numPr>
      </w:pPr>
      <w:r>
        <w:t xml:space="preserve">Status Change </w:t>
      </w:r>
      <w:r w:rsidR="00C03E39">
        <w:t xml:space="preserve">the </w:t>
      </w:r>
      <w:r>
        <w:t>MSR – click “</w:t>
      </w:r>
      <w:r w:rsidR="00581337">
        <w:t xml:space="preserve">MSR Contract Completion </w:t>
      </w:r>
      <w:r>
        <w:t>Submit</w:t>
      </w:r>
      <w:r w:rsidR="00581337">
        <w:t>ted.</w:t>
      </w:r>
      <w:r>
        <w:t>”</w:t>
      </w:r>
    </w:p>
    <w:p w14:paraId="13F05215" w14:textId="24CC8C2A" w:rsidR="0038549B" w:rsidRDefault="0038549B" w:rsidP="0038549B">
      <w:pPr>
        <w:pStyle w:val="ListParagraph"/>
      </w:pPr>
    </w:p>
    <w:p w14:paraId="5629E838" w14:textId="20BE98B1" w:rsidR="003F53D0" w:rsidRDefault="003F53D0" w:rsidP="0038549B">
      <w:pPr>
        <w:pStyle w:val="ListParagraph"/>
      </w:pPr>
    </w:p>
    <w:p w14:paraId="4AF48ACD" w14:textId="77777777" w:rsidR="003F53D0" w:rsidRDefault="003F53D0" w:rsidP="0038549B">
      <w:pPr>
        <w:pStyle w:val="ListParagraph"/>
      </w:pPr>
    </w:p>
    <w:p w14:paraId="064DD3BA" w14:textId="3DE6125B" w:rsidR="001403A3" w:rsidRDefault="001403A3" w:rsidP="00380A7F">
      <w:pPr>
        <w:pStyle w:val="Heading2"/>
      </w:pPr>
      <w:r>
        <w:lastRenderedPageBreak/>
        <w:t xml:space="preserve">Create </w:t>
      </w:r>
      <w:r w:rsidR="00AE4431">
        <w:t>final</w:t>
      </w:r>
      <w:r>
        <w:t xml:space="preserve"> Payment Request</w:t>
      </w:r>
    </w:p>
    <w:p w14:paraId="77D76680" w14:textId="0364F9E4" w:rsidR="00581337" w:rsidRDefault="00581337" w:rsidP="00581337">
      <w:r>
        <w:t>The closeout process requires one payment to be marked as “Final” within the system</w:t>
      </w:r>
    </w:p>
    <w:p w14:paraId="0DE6C19A" w14:textId="7CAC965F" w:rsidR="0038549B" w:rsidRDefault="0038549B" w:rsidP="00581337">
      <w:pPr>
        <w:pStyle w:val="ListParagraph"/>
        <w:numPr>
          <w:ilvl w:val="0"/>
          <w:numId w:val="4"/>
        </w:numPr>
      </w:pPr>
      <w:r>
        <w:t xml:space="preserve">Confirm all </w:t>
      </w:r>
      <w:r w:rsidR="00AE4431">
        <w:t>pre-TDA-GO expenditures are accurately reflected</w:t>
      </w:r>
      <w:r w:rsidR="00581337">
        <w:t xml:space="preserve"> on the most recent Payment Request</w:t>
      </w:r>
      <w:r w:rsidR="00E24B64">
        <w:t xml:space="preserve"> Summary page</w:t>
      </w:r>
      <w:r w:rsidR="00581337">
        <w:t>.</w:t>
      </w:r>
    </w:p>
    <w:p w14:paraId="6A4E2109" w14:textId="1644154A" w:rsidR="00581337" w:rsidRDefault="00581337" w:rsidP="00581337">
      <w:pPr>
        <w:pStyle w:val="ListParagraph"/>
        <w:numPr>
          <w:ilvl w:val="0"/>
          <w:numId w:val="4"/>
        </w:numPr>
      </w:pPr>
      <w:r>
        <w:t>Create a new Payment Request.</w:t>
      </w:r>
    </w:p>
    <w:p w14:paraId="340754C1" w14:textId="77777777" w:rsidR="00E24B64" w:rsidRDefault="00E24B64" w:rsidP="00E24B64">
      <w:pPr>
        <w:pStyle w:val="ListParagraph"/>
        <w:numPr>
          <w:ilvl w:val="1"/>
          <w:numId w:val="4"/>
        </w:numPr>
      </w:pPr>
      <w:r>
        <w:t>Mark the Payment Request as Final = Yes</w:t>
      </w:r>
    </w:p>
    <w:p w14:paraId="587C9F58" w14:textId="77777777" w:rsidR="00581337" w:rsidRDefault="00AE4431" w:rsidP="00581337">
      <w:pPr>
        <w:pStyle w:val="ListParagraph"/>
        <w:numPr>
          <w:ilvl w:val="1"/>
          <w:numId w:val="4"/>
        </w:numPr>
      </w:pPr>
      <w:r>
        <w:t>Enter any remaining eligible costs, including final administration costs</w:t>
      </w:r>
      <w:r w:rsidR="00581337">
        <w:t>.</w:t>
      </w:r>
    </w:p>
    <w:p w14:paraId="677BCE6A" w14:textId="13DA2908" w:rsidR="00AE4431" w:rsidRDefault="00581337" w:rsidP="00581337">
      <w:pPr>
        <w:pStyle w:val="ListParagraph"/>
        <w:numPr>
          <w:ilvl w:val="1"/>
          <w:numId w:val="4"/>
        </w:numPr>
      </w:pPr>
      <w:r>
        <w:t xml:space="preserve">Enter </w:t>
      </w:r>
      <w:r w:rsidR="00E24B64">
        <w:t xml:space="preserve">all </w:t>
      </w:r>
      <w:r w:rsidR="00AE4431">
        <w:t>match expenses</w:t>
      </w:r>
      <w:r>
        <w:t xml:space="preserve">, which were not identified in the migration.  </w:t>
      </w:r>
      <w:r w:rsidR="00E24B64">
        <w:t>If previously submitted, indicate this in the Invoice Notes.</w:t>
      </w:r>
    </w:p>
    <w:p w14:paraId="2A409770" w14:textId="2E776319" w:rsidR="00BB32B5" w:rsidRDefault="003E7B3A" w:rsidP="00E24B64">
      <w:pPr>
        <w:pStyle w:val="ListParagraph"/>
        <w:numPr>
          <w:ilvl w:val="1"/>
          <w:numId w:val="4"/>
        </w:numPr>
      </w:pPr>
      <w:r>
        <w:t>If insufficient matching funds have been expended, contact your Grant Specialist for assistance re-allocating costs between grant and match fund types.</w:t>
      </w:r>
    </w:p>
    <w:p w14:paraId="155BCA41" w14:textId="6A3EA3E8" w:rsidR="00AE4431" w:rsidRDefault="00AE4431" w:rsidP="00581337">
      <w:pPr>
        <w:pStyle w:val="ListParagraph"/>
        <w:numPr>
          <w:ilvl w:val="0"/>
          <w:numId w:val="4"/>
        </w:numPr>
      </w:pPr>
      <w:r>
        <w:t xml:space="preserve">Status Change </w:t>
      </w:r>
      <w:r w:rsidR="00677699">
        <w:t xml:space="preserve">the </w:t>
      </w:r>
      <w:r>
        <w:t>Payment Request – click “Submit”</w:t>
      </w:r>
    </w:p>
    <w:p w14:paraId="434DA2EE" w14:textId="77777777" w:rsidR="00AE4431" w:rsidRDefault="00AE4431" w:rsidP="00AE4431">
      <w:pPr>
        <w:pStyle w:val="ListParagraph"/>
        <w:ind w:left="1440"/>
      </w:pPr>
    </w:p>
    <w:p w14:paraId="4CFAA673" w14:textId="3851F146" w:rsidR="00AE4431" w:rsidRDefault="00B1123A" w:rsidP="00380A7F">
      <w:pPr>
        <w:pStyle w:val="Heading2"/>
      </w:pPr>
      <w:r>
        <w:t xml:space="preserve">Check for </w:t>
      </w:r>
      <w:r w:rsidR="00E24B64">
        <w:t xml:space="preserve">other </w:t>
      </w:r>
      <w:r>
        <w:t>required documents</w:t>
      </w:r>
    </w:p>
    <w:p w14:paraId="706A1AE0" w14:textId="3C300182" w:rsidR="00B1123A" w:rsidRDefault="00B1123A" w:rsidP="00E24B64">
      <w:pPr>
        <w:pStyle w:val="ListParagraph"/>
        <w:numPr>
          <w:ilvl w:val="0"/>
          <w:numId w:val="6"/>
        </w:numPr>
      </w:pPr>
      <w:r>
        <w:t xml:space="preserve">All Performance Reports (Environmental Review, Acquisition, Group A and Group B) must be in </w:t>
      </w:r>
      <w:r w:rsidR="00E24B64">
        <w:t xml:space="preserve">“Performance Report </w:t>
      </w:r>
      <w:r>
        <w:t>Approved</w:t>
      </w:r>
      <w:r w:rsidR="00E24B64">
        <w:t>”</w:t>
      </w:r>
      <w:r>
        <w:t xml:space="preserve"> status.</w:t>
      </w:r>
    </w:p>
    <w:p w14:paraId="39A61BF1" w14:textId="15EE55AB" w:rsidR="00B1123A" w:rsidRDefault="00E24B64" w:rsidP="00E24B64">
      <w:pPr>
        <w:pStyle w:val="ListParagraph"/>
        <w:numPr>
          <w:ilvl w:val="0"/>
          <w:numId w:val="6"/>
        </w:numPr>
      </w:pPr>
      <w:r>
        <w:t>A final</w:t>
      </w:r>
      <w:r w:rsidR="00B1123A">
        <w:t xml:space="preserve"> Monitoring Review must be created </w:t>
      </w:r>
      <w:r>
        <w:t xml:space="preserve">before beginning closeout </w:t>
      </w:r>
      <w:r w:rsidR="00B1123A">
        <w:t>– if none</w:t>
      </w:r>
      <w:r w:rsidR="00677699">
        <w:t xml:space="preserve"> is found under the Related Documents menu</w:t>
      </w:r>
      <w:r w:rsidR="00B1123A">
        <w:t xml:space="preserve">, </w:t>
      </w:r>
      <w:r w:rsidR="00ED625B">
        <w:t xml:space="preserve">submit a </w:t>
      </w:r>
      <w:hyperlink r:id="rId6" w:history="1">
        <w:r w:rsidR="00ED625B" w:rsidRPr="00ED625B">
          <w:rPr>
            <w:rStyle w:val="Hyperlink"/>
          </w:rPr>
          <w:t>Support Ticket</w:t>
        </w:r>
      </w:hyperlink>
      <w:r w:rsidR="00B1123A">
        <w:t>.</w:t>
      </w:r>
    </w:p>
    <w:p w14:paraId="1DDB527B" w14:textId="77777777" w:rsidR="003E7B3A" w:rsidRDefault="003E7B3A" w:rsidP="003E7B3A">
      <w:pPr>
        <w:pStyle w:val="ListParagraph"/>
        <w:ind w:left="1440"/>
      </w:pPr>
    </w:p>
    <w:p w14:paraId="728C4BB4" w14:textId="4A3F619B" w:rsidR="00B1123A" w:rsidRDefault="005A7F0C" w:rsidP="00380A7F">
      <w:pPr>
        <w:pStyle w:val="Heading2"/>
      </w:pPr>
      <w:r>
        <w:t xml:space="preserve">Begin </w:t>
      </w:r>
      <w:r w:rsidR="00677699">
        <w:t xml:space="preserve">Grant </w:t>
      </w:r>
      <w:r>
        <w:t>Closeout</w:t>
      </w:r>
    </w:p>
    <w:p w14:paraId="067F275E" w14:textId="77777777" w:rsidR="00677699" w:rsidRDefault="005A7F0C" w:rsidP="00677699">
      <w:pPr>
        <w:pStyle w:val="ListParagraph"/>
        <w:numPr>
          <w:ilvl w:val="0"/>
          <w:numId w:val="1"/>
        </w:numPr>
      </w:pPr>
      <w:r>
        <w:t xml:space="preserve">Status </w:t>
      </w:r>
      <w:r w:rsidR="00677699">
        <w:t>C</w:t>
      </w:r>
      <w:r>
        <w:t>hange</w:t>
      </w:r>
      <w:r w:rsidR="00C03E39">
        <w:t xml:space="preserve"> the</w:t>
      </w:r>
      <w:r>
        <w:t xml:space="preserve"> Application</w:t>
      </w:r>
      <w:r w:rsidR="00677699">
        <w:t>/Grant</w:t>
      </w:r>
      <w:r>
        <w:t xml:space="preserve"> – click </w:t>
      </w:r>
      <w:r w:rsidR="00677699">
        <w:t>“</w:t>
      </w:r>
      <w:r>
        <w:t>Begin Closeout</w:t>
      </w:r>
      <w:r w:rsidR="00677699">
        <w:t>”</w:t>
      </w:r>
    </w:p>
    <w:p w14:paraId="7F2DB232" w14:textId="21EB4C8B" w:rsidR="00754676" w:rsidRDefault="005A7F0C" w:rsidP="00754676">
      <w:pPr>
        <w:pStyle w:val="ListParagraph"/>
        <w:numPr>
          <w:ilvl w:val="1"/>
          <w:numId w:val="1"/>
        </w:numPr>
      </w:pPr>
      <w:r>
        <w:t xml:space="preserve">Complete </w:t>
      </w:r>
      <w:r w:rsidR="00677699">
        <w:t xml:space="preserve">the </w:t>
      </w:r>
      <w:r>
        <w:t xml:space="preserve">Project Completion Report page. </w:t>
      </w:r>
    </w:p>
    <w:p w14:paraId="516AB914" w14:textId="5AE435E1" w:rsidR="00A9277E" w:rsidRDefault="00A9277E" w:rsidP="00677699">
      <w:pPr>
        <w:pStyle w:val="ListParagraph"/>
        <w:numPr>
          <w:ilvl w:val="1"/>
          <w:numId w:val="1"/>
        </w:numPr>
      </w:pPr>
      <w:r>
        <w:t xml:space="preserve">Check each box to certify </w:t>
      </w:r>
      <w:r w:rsidR="00754676">
        <w:t>the information is accurate and complete.</w:t>
      </w:r>
    </w:p>
    <w:p w14:paraId="7FF3DA37" w14:textId="0978A340" w:rsidR="00754676" w:rsidRDefault="00754676" w:rsidP="00677699">
      <w:pPr>
        <w:pStyle w:val="ListParagraph"/>
        <w:numPr>
          <w:ilvl w:val="1"/>
          <w:numId w:val="1"/>
        </w:numPr>
      </w:pPr>
      <w:r>
        <w:t>For migrated grants, attach as Additional Documentation a copy of the most recent Performance Statement Exhibit A executed prior to the TDA-GO migration.</w:t>
      </w:r>
    </w:p>
    <w:p w14:paraId="741B8ADD" w14:textId="56BD0135" w:rsidR="00CA3C00" w:rsidRDefault="00CA3C00" w:rsidP="00677699">
      <w:pPr>
        <w:pStyle w:val="ListParagraph"/>
        <w:numPr>
          <w:ilvl w:val="1"/>
          <w:numId w:val="1"/>
        </w:numPr>
      </w:pPr>
      <w:r>
        <w:t>Save the page – if the grant includes direct beneficiaries (14A households or 18A jobs)</w:t>
      </w:r>
      <w:r w:rsidR="000F0618">
        <w:t>, a new page will appear to report the required information.</w:t>
      </w:r>
    </w:p>
    <w:p w14:paraId="069B4368" w14:textId="52D91BD2" w:rsidR="005A7F0C" w:rsidRDefault="005A7F0C" w:rsidP="005A7F0C">
      <w:pPr>
        <w:pStyle w:val="ListParagraph"/>
        <w:numPr>
          <w:ilvl w:val="1"/>
          <w:numId w:val="1"/>
        </w:numPr>
      </w:pPr>
      <w:r>
        <w:t xml:space="preserve">Obtain </w:t>
      </w:r>
      <w:r w:rsidR="000F0618">
        <w:t xml:space="preserve">the </w:t>
      </w:r>
      <w:r>
        <w:t xml:space="preserve">electronic signature of the Authorized Official - check the </w:t>
      </w:r>
      <w:r w:rsidR="000F0618">
        <w:t xml:space="preserve">certification </w:t>
      </w:r>
      <w:r>
        <w:t>box and save the page</w:t>
      </w:r>
      <w:r w:rsidR="000F0618">
        <w:t>.</w:t>
      </w:r>
    </w:p>
    <w:p w14:paraId="5A1291D4" w14:textId="376F7ADC" w:rsidR="005A7F0C" w:rsidRDefault="005A7F0C" w:rsidP="00A9277E">
      <w:pPr>
        <w:pStyle w:val="ListParagraph"/>
        <w:numPr>
          <w:ilvl w:val="0"/>
          <w:numId w:val="1"/>
        </w:numPr>
      </w:pPr>
      <w:r>
        <w:t xml:space="preserve">Status </w:t>
      </w:r>
      <w:r w:rsidR="00A9277E">
        <w:t>C</w:t>
      </w:r>
      <w:r>
        <w:t>hange the Application</w:t>
      </w:r>
      <w:r w:rsidR="000F0618">
        <w:t>/Grant</w:t>
      </w:r>
      <w:r>
        <w:t xml:space="preserve"> </w:t>
      </w:r>
      <w:r w:rsidR="00C03E39">
        <w:t>–</w:t>
      </w:r>
      <w:r>
        <w:t xml:space="preserve"> </w:t>
      </w:r>
      <w:r w:rsidR="00C03E39">
        <w:t>click “Submit</w:t>
      </w:r>
      <w:r w:rsidR="000F0618">
        <w:t xml:space="preserve"> Closeout</w:t>
      </w:r>
      <w:r w:rsidR="00C03E39">
        <w:t>”</w:t>
      </w:r>
    </w:p>
    <w:sectPr w:rsidR="005A7F0C" w:rsidSect="0054059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3B"/>
    <w:multiLevelType w:val="hybridMultilevel"/>
    <w:tmpl w:val="A8CE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649E"/>
    <w:multiLevelType w:val="hybridMultilevel"/>
    <w:tmpl w:val="8C32F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35D2"/>
    <w:multiLevelType w:val="hybridMultilevel"/>
    <w:tmpl w:val="BA4A3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62A6"/>
    <w:multiLevelType w:val="hybridMultilevel"/>
    <w:tmpl w:val="023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5441"/>
    <w:multiLevelType w:val="hybridMultilevel"/>
    <w:tmpl w:val="DC8A1E70"/>
    <w:lvl w:ilvl="0" w:tplc="8084AC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8BE"/>
    <w:multiLevelType w:val="hybridMultilevel"/>
    <w:tmpl w:val="F378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C78"/>
    <w:multiLevelType w:val="hybridMultilevel"/>
    <w:tmpl w:val="9F1E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7709">
    <w:abstractNumId w:val="0"/>
  </w:num>
  <w:num w:numId="2" w16cid:durableId="87359741">
    <w:abstractNumId w:val="5"/>
  </w:num>
  <w:num w:numId="3" w16cid:durableId="1131895738">
    <w:abstractNumId w:val="1"/>
  </w:num>
  <w:num w:numId="4" w16cid:durableId="1264998166">
    <w:abstractNumId w:val="3"/>
  </w:num>
  <w:num w:numId="5" w16cid:durableId="100491666">
    <w:abstractNumId w:val="2"/>
  </w:num>
  <w:num w:numId="6" w16cid:durableId="1443039761">
    <w:abstractNumId w:val="6"/>
  </w:num>
  <w:num w:numId="7" w16cid:durableId="1171800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A3"/>
    <w:rsid w:val="000F0618"/>
    <w:rsid w:val="001403A3"/>
    <w:rsid w:val="00380A7F"/>
    <w:rsid w:val="0038549B"/>
    <w:rsid w:val="003E7B3A"/>
    <w:rsid w:val="003F53D0"/>
    <w:rsid w:val="0054059A"/>
    <w:rsid w:val="00581337"/>
    <w:rsid w:val="005A7F0C"/>
    <w:rsid w:val="00677699"/>
    <w:rsid w:val="00754676"/>
    <w:rsid w:val="00A9277E"/>
    <w:rsid w:val="00AC3362"/>
    <w:rsid w:val="00AE4431"/>
    <w:rsid w:val="00B1123A"/>
    <w:rsid w:val="00BB32B5"/>
    <w:rsid w:val="00C03E39"/>
    <w:rsid w:val="00CA3C00"/>
    <w:rsid w:val="00D754F8"/>
    <w:rsid w:val="00E24B64"/>
    <w:rsid w:val="00ED625B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1908"/>
  <w15:chartTrackingRefBased/>
  <w15:docId w15:val="{34745D50-DC0B-4042-BD49-1DF85538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3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A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3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AC3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6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209344426600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Suzanne Barnard</cp:lastModifiedBy>
  <cp:revision>2</cp:revision>
  <dcterms:created xsi:type="dcterms:W3CDTF">2022-07-11T03:08:00Z</dcterms:created>
  <dcterms:modified xsi:type="dcterms:W3CDTF">2022-07-11T21:00:00Z</dcterms:modified>
</cp:coreProperties>
</file>