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20A8A" w14:textId="77777777" w:rsidR="00CD1D34" w:rsidRPr="00DF2524" w:rsidRDefault="00CD1D34" w:rsidP="00CD1D34">
      <w:pPr>
        <w:pStyle w:val="BodyText"/>
        <w:jc w:val="center"/>
        <w:rPr>
          <w:b/>
        </w:rPr>
      </w:pPr>
      <w:r w:rsidRPr="00DF2524">
        <w:rPr>
          <w:b/>
        </w:rPr>
        <w:t>Summary of Major Lead-Based Paint Regulations</w:t>
      </w:r>
    </w:p>
    <w:p w14:paraId="192B385C" w14:textId="77777777" w:rsidR="00CD1D34" w:rsidRPr="00DF2524" w:rsidRDefault="00CD1D34" w:rsidP="00CD1D34">
      <w:pPr>
        <w:pStyle w:val="BodyText"/>
        <w:jc w:val="center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2880"/>
        <w:gridCol w:w="3294"/>
      </w:tblGrid>
      <w:tr w:rsidR="00CD1D34" w:rsidRPr="00DF2524" w14:paraId="16B648D5" w14:textId="77777777" w:rsidTr="00802C4B">
        <w:trPr>
          <w:cantSplit/>
          <w:tblHeader/>
          <w:jc w:val="center"/>
        </w:trPr>
        <w:tc>
          <w:tcPr>
            <w:tcW w:w="3600" w:type="dxa"/>
            <w:tcBorders>
              <w:top w:val="single" w:sz="6" w:space="0" w:color="FFFFFF"/>
              <w:left w:val="single" w:sz="6" w:space="0" w:color="FFFFFF"/>
              <w:bottom w:val="nil"/>
              <w:right w:val="single" w:sz="6" w:space="0" w:color="FFFFFF"/>
            </w:tcBorders>
            <w:shd w:val="solid" w:color="auto" w:fill="auto"/>
          </w:tcPr>
          <w:p w14:paraId="2A1DEE4D" w14:textId="77777777" w:rsidR="00CD1D34" w:rsidRPr="00DF2524" w:rsidRDefault="00CD1D34" w:rsidP="00802C4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&lt; $5000/unit</w:t>
            </w:r>
          </w:p>
        </w:tc>
        <w:tc>
          <w:tcPr>
            <w:tcW w:w="2880" w:type="dxa"/>
            <w:tcBorders>
              <w:top w:val="single" w:sz="6" w:space="0" w:color="FFFFFF"/>
              <w:left w:val="single" w:sz="6" w:space="0" w:color="FFFFFF"/>
              <w:bottom w:val="nil"/>
              <w:right w:val="single" w:sz="6" w:space="0" w:color="FFFFFF"/>
            </w:tcBorders>
            <w:shd w:val="solid" w:color="auto" w:fill="auto"/>
          </w:tcPr>
          <w:p w14:paraId="594BC162" w14:textId="77777777" w:rsidR="00CD1D34" w:rsidRPr="00DF2524" w:rsidRDefault="00CD1D34" w:rsidP="00802C4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$5000 - $25,000/unit</w:t>
            </w:r>
          </w:p>
        </w:tc>
        <w:tc>
          <w:tcPr>
            <w:tcW w:w="3294" w:type="dxa"/>
            <w:tcBorders>
              <w:top w:val="single" w:sz="6" w:space="0" w:color="FFFFFF"/>
              <w:left w:val="single" w:sz="6" w:space="0" w:color="FFFFFF"/>
              <w:bottom w:val="nil"/>
              <w:right w:val="single" w:sz="6" w:space="0" w:color="000000"/>
            </w:tcBorders>
            <w:shd w:val="solid" w:color="auto" w:fill="auto"/>
          </w:tcPr>
          <w:p w14:paraId="4A46BC65" w14:textId="77777777" w:rsidR="00CD1D34" w:rsidRPr="00DF2524" w:rsidRDefault="00CD1D34" w:rsidP="00802C4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&gt; $25,000/unit</w:t>
            </w:r>
          </w:p>
        </w:tc>
      </w:tr>
      <w:tr w:rsidR="00CD1D34" w:rsidRPr="00DF2524" w14:paraId="31D79B35" w14:textId="77777777" w:rsidTr="00802C4B">
        <w:trPr>
          <w:cantSplit/>
          <w:trHeight w:val="1008"/>
          <w:jc w:val="center"/>
        </w:trPr>
        <w:tc>
          <w:tcPr>
            <w:tcW w:w="9774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4DA8F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  <w:p w14:paraId="3D118F38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CFR Part 35, Subpart J contains</w:t>
            </w:r>
            <w:r w:rsidRPr="00DF2524">
              <w:rPr>
                <w:rFonts w:ascii="Arial" w:hAnsi="Arial" w:cs="Arial"/>
                <w:sz w:val="18"/>
                <w:szCs w:val="18"/>
              </w:rPr>
              <w:t xml:space="preserve"> lead-based paint requirements specifically for Federally funded rehabilitation work. These requirements apply to HUD programs that provide assistance for rehabilitation, including CPD-funded rehabilitation activities. </w:t>
            </w:r>
          </w:p>
          <w:p w14:paraId="65B02711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 xml:space="preserve">The lead-based paint requirements for rehabilitation work, as described in this part of the regulation, are the same regardless of the source of program funding, </w:t>
            </w:r>
            <w:r w:rsidRPr="00DF2524">
              <w:rPr>
                <w:rFonts w:ascii="Arial" w:hAnsi="Arial" w:cs="Arial"/>
                <w:i/>
                <w:sz w:val="18"/>
                <w:szCs w:val="18"/>
              </w:rPr>
              <w:t>but</w:t>
            </w:r>
            <w:r w:rsidRPr="00DF2524">
              <w:rPr>
                <w:rFonts w:ascii="Arial" w:hAnsi="Arial" w:cs="Arial"/>
                <w:sz w:val="18"/>
                <w:szCs w:val="18"/>
              </w:rPr>
              <w:t xml:space="preserve"> they differ based on the level of funding to a property. </w:t>
            </w:r>
          </w:p>
        </w:tc>
      </w:tr>
      <w:tr w:rsidR="00CD1D34" w:rsidRPr="00DF2524" w14:paraId="2F84CC41" w14:textId="77777777" w:rsidTr="00802C4B">
        <w:trPr>
          <w:cantSplit/>
          <w:trHeight w:val="993"/>
          <w:jc w:val="center"/>
        </w:trPr>
        <w:tc>
          <w:tcPr>
            <w:tcW w:w="9774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6A068A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Notification</w:t>
            </w:r>
          </w:p>
          <w:p w14:paraId="79899E24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 xml:space="preserve">Occupants, owner occupants, and purchasers of assisted properties must receive notification of the potential presence and hazards of lead-based paint. Notification is achieved through the distribution of the EPA/HUD/CPSC lead-based paint hazard information pamphlet.  Occupants must also receive written notice informing them of lead hazard evaluation or reduction activities. </w:t>
            </w:r>
          </w:p>
        </w:tc>
      </w:tr>
      <w:tr w:rsidR="00CD1D34" w:rsidRPr="00DF2524" w14:paraId="00B66C73" w14:textId="77777777" w:rsidTr="00802C4B">
        <w:trPr>
          <w:cantSplit/>
          <w:trHeight w:val="1176"/>
          <w:jc w:val="center"/>
        </w:trPr>
        <w:tc>
          <w:tcPr>
            <w:tcW w:w="36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9CB926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Paint Testing</w:t>
            </w:r>
          </w:p>
          <w:p w14:paraId="5B77B0FB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>Painted surfaces that will be disturbed during rehabilitation must be tested for lead-based paint, unless a surface is assumed to contain lead-based paint.</w:t>
            </w:r>
          </w:p>
        </w:tc>
        <w:tc>
          <w:tcPr>
            <w:tcW w:w="6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86A5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Paint Testing</w:t>
            </w:r>
            <w:r w:rsidRPr="00DF2524">
              <w:rPr>
                <w:rFonts w:ascii="Arial" w:hAnsi="Arial" w:cs="Arial"/>
                <w:sz w:val="18"/>
                <w:szCs w:val="18"/>
              </w:rPr>
              <w:t xml:space="preserve"> – Test surfaces that will be disturbed by the rehabilitation for lead-based paint. For surfaces assumed to contain lead-based paint, testing is not required. </w:t>
            </w:r>
          </w:p>
          <w:p w14:paraId="7CB32C46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Risk Assessment</w:t>
            </w:r>
            <w:r w:rsidRPr="00DF2524">
              <w:rPr>
                <w:rFonts w:ascii="Arial" w:hAnsi="Arial" w:cs="Arial"/>
                <w:sz w:val="18"/>
                <w:szCs w:val="18"/>
              </w:rPr>
              <w:t xml:space="preserve"> – An assessment of a dwelling to check for the presence of lead-based paint hazards. It includes a visual assessment of dust, soil, and paint and a written report of the results.</w:t>
            </w:r>
          </w:p>
        </w:tc>
      </w:tr>
      <w:tr w:rsidR="00CD1D34" w:rsidRPr="00DF2524" w14:paraId="6FB2AFC1" w14:textId="77777777" w:rsidTr="00802C4B">
        <w:trPr>
          <w:cantSplit/>
          <w:trHeight w:val="1608"/>
          <w:jc w:val="center"/>
        </w:trPr>
        <w:tc>
          <w:tcPr>
            <w:tcW w:w="36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B245B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EBA2F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 xml:space="preserve">Option </w:t>
            </w:r>
          </w:p>
          <w:p w14:paraId="6B197D81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>The grantee may assume that lead-based paint and lead hazards are present, forego the paint testing and risk assessment, and conduct standard treatments.</w:t>
            </w:r>
          </w:p>
        </w:tc>
        <w:tc>
          <w:tcPr>
            <w:tcW w:w="3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0B54C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 xml:space="preserve">Option </w:t>
            </w:r>
          </w:p>
          <w:p w14:paraId="6C681320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>The grantee may assume that lead-based paint and lead hazards are present, forego paint testing and risk assessment, and abate all painted surfaces disturbed during rehabilitation that are presumed to have lead-based paint and all presumed hazards.</w:t>
            </w:r>
          </w:p>
        </w:tc>
      </w:tr>
      <w:tr w:rsidR="00CD1D34" w:rsidRPr="00DF2524" w14:paraId="1244FEF6" w14:textId="77777777" w:rsidTr="00802C4B">
        <w:trPr>
          <w:cantSplit/>
          <w:trHeight w:val="1785"/>
          <w:jc w:val="center"/>
        </w:trPr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D6624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pacing w:val="-2"/>
                <w:sz w:val="18"/>
                <w:szCs w:val="18"/>
              </w:rPr>
              <w:t>Paint Repair</w:t>
            </w:r>
          </w:p>
          <w:p w14:paraId="5E1443A0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spacing w:val="-2"/>
                <w:sz w:val="18"/>
                <w:szCs w:val="18"/>
              </w:rPr>
              <w:t xml:space="preserve">Repair surfaces that are disturbed by rehabilitation in a safe manner. 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33514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pacing w:val="-2"/>
                <w:sz w:val="18"/>
                <w:szCs w:val="18"/>
              </w:rPr>
              <w:t>Lead Hazard Reduction</w:t>
            </w:r>
          </w:p>
          <w:p w14:paraId="40C825F2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spacing w:val="-2"/>
                <w:sz w:val="18"/>
                <w:szCs w:val="18"/>
              </w:rPr>
              <w:t xml:space="preserve">Any lead-based paint hazards found during the risk assessment must be controlled using </w:t>
            </w:r>
            <w:r w:rsidRPr="00DF2524">
              <w:rPr>
                <w:rFonts w:ascii="Arial" w:hAnsi="Arial" w:cs="Arial"/>
                <w:i/>
                <w:spacing w:val="-2"/>
                <w:sz w:val="18"/>
                <w:szCs w:val="18"/>
              </w:rPr>
              <w:t>interim controls</w:t>
            </w:r>
            <w:r w:rsidRPr="00DF2524">
              <w:rPr>
                <w:rFonts w:ascii="Arial" w:hAnsi="Arial" w:cs="Arial"/>
                <w:spacing w:val="-2"/>
                <w:sz w:val="18"/>
                <w:szCs w:val="18"/>
              </w:rPr>
              <w:t xml:space="preserve"> or abatement methods.</w:t>
            </w:r>
          </w:p>
          <w:p w14:paraId="59647B0C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i/>
                <w:spacing w:val="-2"/>
                <w:sz w:val="18"/>
                <w:szCs w:val="18"/>
              </w:rPr>
              <w:t>Standard treatments</w:t>
            </w:r>
            <w:r w:rsidRPr="00DF2524">
              <w:rPr>
                <w:rFonts w:ascii="Arial" w:hAnsi="Arial" w:cs="Arial"/>
                <w:spacing w:val="-2"/>
                <w:sz w:val="18"/>
                <w:szCs w:val="18"/>
              </w:rPr>
              <w:t xml:space="preserve"> must be performed when no evaluation is conducted and the presence of lead-based paint hazards is assumed. </w:t>
            </w:r>
          </w:p>
        </w:tc>
        <w:tc>
          <w:tcPr>
            <w:tcW w:w="3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155CB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pacing w:val="-2"/>
                <w:sz w:val="18"/>
                <w:szCs w:val="18"/>
              </w:rPr>
              <w:t>Abatement</w:t>
            </w:r>
          </w:p>
          <w:p w14:paraId="3FD5562A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spacing w:val="-2"/>
                <w:sz w:val="18"/>
                <w:szCs w:val="18"/>
              </w:rPr>
              <w:t xml:space="preserve">Any lead-based paint hazards found in units and common areas must be controlled using </w:t>
            </w:r>
            <w:r w:rsidRPr="00DF2524">
              <w:rPr>
                <w:rFonts w:ascii="Arial" w:hAnsi="Arial" w:cs="Arial"/>
                <w:i/>
                <w:spacing w:val="-2"/>
                <w:sz w:val="18"/>
                <w:szCs w:val="18"/>
              </w:rPr>
              <w:t>abatement</w:t>
            </w:r>
            <w:r w:rsidRPr="00DF2524">
              <w:rPr>
                <w:rFonts w:ascii="Arial" w:hAnsi="Arial" w:cs="Arial"/>
                <w:spacing w:val="-2"/>
                <w:sz w:val="18"/>
                <w:szCs w:val="18"/>
              </w:rPr>
              <w:t xml:space="preserve"> methods.</w:t>
            </w:r>
          </w:p>
          <w:p w14:paraId="76576830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F2524">
              <w:rPr>
                <w:rFonts w:ascii="Arial" w:hAnsi="Arial" w:cs="Arial"/>
                <w:spacing w:val="-2"/>
                <w:sz w:val="18"/>
                <w:szCs w:val="18"/>
              </w:rPr>
              <w:t>Lead-based paint hazards on exterior surfaces that are not disturbed during rehabilitation must be controlled using either interim controls or abatement.</w:t>
            </w:r>
          </w:p>
        </w:tc>
      </w:tr>
      <w:tr w:rsidR="00CD1D34" w:rsidRPr="00DF2524" w14:paraId="4D714E21" w14:textId="77777777" w:rsidTr="00802C4B">
        <w:trPr>
          <w:cantSplit/>
          <w:trHeight w:val="879"/>
          <w:jc w:val="center"/>
        </w:trPr>
        <w:tc>
          <w:tcPr>
            <w:tcW w:w="97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5F137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Safe Work Practices</w:t>
            </w:r>
          </w:p>
          <w:p w14:paraId="2533C09F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>Rehabilitation work that disturbs surfaces known or assumed to contain lead-based paint must be performed using safe work practices. Safe work practices are not required for work that disturbs surfaces below de minimis</w:t>
            </w:r>
            <w:r w:rsidRPr="00DF2524">
              <w:rPr>
                <w:rStyle w:val="FootnoteReference"/>
                <w:rFonts w:ascii="Arial" w:hAnsi="Arial" w:cs="Arial"/>
                <w:i/>
                <w:sz w:val="18"/>
                <w:szCs w:val="18"/>
              </w:rPr>
              <w:footnoteReference w:id="1"/>
            </w:r>
            <w:r w:rsidRPr="00DF2524">
              <w:rPr>
                <w:rFonts w:ascii="Arial" w:hAnsi="Arial" w:cs="Arial"/>
                <w:sz w:val="18"/>
                <w:szCs w:val="18"/>
              </w:rPr>
              <w:t xml:space="preserve"> levels.  There are additional safety precautions for occupant protection, worksite preparation, and cleanup activities.</w:t>
            </w:r>
          </w:p>
        </w:tc>
      </w:tr>
      <w:tr w:rsidR="00CD1D34" w:rsidRPr="00DF2524" w14:paraId="1BBF1A73" w14:textId="77777777" w:rsidTr="00802C4B">
        <w:trPr>
          <w:cantSplit/>
          <w:trHeight w:val="1020"/>
          <w:jc w:val="center"/>
        </w:trPr>
        <w:tc>
          <w:tcPr>
            <w:tcW w:w="9774" w:type="dxa"/>
            <w:gridSpan w:val="3"/>
            <w:tcBorders>
              <w:top w:val="single" w:sz="6" w:space="0" w:color="000000"/>
              <w:left w:val="single" w:sz="6" w:space="0" w:color="000000"/>
              <w:bottom w:val="dotted" w:sz="4" w:space="0" w:color="auto"/>
              <w:right w:val="single" w:sz="6" w:space="0" w:color="000000"/>
            </w:tcBorders>
          </w:tcPr>
          <w:p w14:paraId="0ECF34F0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Clearance</w:t>
            </w:r>
          </w:p>
          <w:p w14:paraId="3E2E92B6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>Once hazard reduction work is completed, a clearance examination must be performed by a certified professional to ensure that no lead-based paint hazards remain.  Clearance involves a visual assessment and dust testing after cleanup is complete.  A clearance report must be prepared. If abatement is conducted, an abatement report is required in place of a clearance report.</w:t>
            </w:r>
          </w:p>
        </w:tc>
      </w:tr>
      <w:tr w:rsidR="00CD1D34" w:rsidRPr="00DF2524" w14:paraId="1FEA9B6A" w14:textId="77777777" w:rsidTr="00802C4B">
        <w:trPr>
          <w:cantSplit/>
          <w:trHeight w:val="495"/>
          <w:jc w:val="center"/>
        </w:trPr>
        <w:tc>
          <w:tcPr>
            <w:tcW w:w="3600" w:type="dxa"/>
            <w:tcBorders>
              <w:top w:val="dotted" w:sz="4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14:paraId="0D666873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>Clearance is required only for the worksite</w:t>
            </w:r>
          </w:p>
        </w:tc>
        <w:tc>
          <w:tcPr>
            <w:tcW w:w="6174" w:type="dxa"/>
            <w:gridSpan w:val="2"/>
            <w:tcBorders>
              <w:top w:val="dotted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1BFDF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 xml:space="preserve">Clearance is required for the unit, common areas, and exterior areas where rehabilitation took place. </w:t>
            </w:r>
          </w:p>
        </w:tc>
      </w:tr>
      <w:tr w:rsidR="00CD1D34" w:rsidRPr="00DF2524" w14:paraId="3616D133" w14:textId="77777777" w:rsidTr="00802C4B">
        <w:trPr>
          <w:cantSplit/>
          <w:trHeight w:val="705"/>
          <w:jc w:val="center"/>
        </w:trPr>
        <w:tc>
          <w:tcPr>
            <w:tcW w:w="97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8FD57" w14:textId="77777777" w:rsidR="00CD1D34" w:rsidRPr="00DF2524" w:rsidRDefault="00CD1D34" w:rsidP="00802C4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524">
              <w:rPr>
                <w:rFonts w:ascii="Arial" w:hAnsi="Arial" w:cs="Arial"/>
                <w:b/>
                <w:sz w:val="18"/>
                <w:szCs w:val="18"/>
              </w:rPr>
              <w:t>Environmental Intervention Blood Lead Level Requirements</w:t>
            </w:r>
          </w:p>
          <w:p w14:paraId="1EFB9F31" w14:textId="77777777" w:rsidR="00CD1D34" w:rsidRPr="00DF2524" w:rsidRDefault="00CD1D34" w:rsidP="00802C4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524">
              <w:rPr>
                <w:rFonts w:ascii="Arial" w:hAnsi="Arial" w:cs="Arial"/>
                <w:sz w:val="18"/>
                <w:szCs w:val="18"/>
              </w:rPr>
              <w:t xml:space="preserve">The regulation does </w:t>
            </w:r>
            <w:r w:rsidRPr="00DF2524">
              <w:rPr>
                <w:rFonts w:ascii="Arial" w:hAnsi="Arial" w:cs="Arial"/>
                <w:i/>
                <w:sz w:val="18"/>
                <w:szCs w:val="18"/>
              </w:rPr>
              <w:t>not</w:t>
            </w:r>
            <w:r w:rsidRPr="00DF2524">
              <w:rPr>
                <w:rFonts w:ascii="Arial" w:hAnsi="Arial" w:cs="Arial"/>
                <w:sz w:val="18"/>
                <w:szCs w:val="18"/>
              </w:rPr>
              <w:t xml:space="preserve"> require action by grantees when a child with an environmental intervention blood lead level is found to be living in a unit that has received rehabilitation assistance. </w:t>
            </w:r>
          </w:p>
        </w:tc>
      </w:tr>
    </w:tbl>
    <w:p w14:paraId="2464666C" w14:textId="77777777" w:rsidR="004659DA" w:rsidRDefault="00C50A42"/>
    <w:sectPr w:rsidR="004659DA" w:rsidSect="00E04F95">
      <w:headerReference w:type="default" r:id="rId7"/>
      <w:footerReference w:type="default" r:id="rId8"/>
      <w:pgSz w:w="12240" w:h="15840"/>
      <w:pgMar w:top="1440" w:right="1440" w:bottom="1440" w:left="1440" w:header="720" w:footer="9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B32333" w14:textId="77777777" w:rsidR="00F017E8" w:rsidRDefault="00F017E8" w:rsidP="00CD1D34">
      <w:r>
        <w:separator/>
      </w:r>
    </w:p>
  </w:endnote>
  <w:endnote w:type="continuationSeparator" w:id="0">
    <w:p w14:paraId="36446945" w14:textId="77777777" w:rsidR="00F017E8" w:rsidRDefault="00F017E8" w:rsidP="00CD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B040B" w14:textId="4086E2D5" w:rsidR="00E04F95" w:rsidRPr="00E04F95" w:rsidRDefault="00945C0B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2"/>
        <w:szCs w:val="22"/>
      </w:rPr>
      <w:t>09/01/20</w:t>
    </w:r>
    <w:r w:rsidR="00C50A42">
      <w:rPr>
        <w:rFonts w:ascii="Arial" w:hAnsi="Arial" w:cs="Arial"/>
        <w:sz w:val="22"/>
        <w:szCs w:val="22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A0F5B" w14:textId="77777777" w:rsidR="00F017E8" w:rsidRDefault="00F017E8" w:rsidP="00CD1D34">
      <w:r>
        <w:separator/>
      </w:r>
    </w:p>
  </w:footnote>
  <w:footnote w:type="continuationSeparator" w:id="0">
    <w:p w14:paraId="0CD2170F" w14:textId="77777777" w:rsidR="00F017E8" w:rsidRDefault="00F017E8" w:rsidP="00CD1D34">
      <w:r>
        <w:continuationSeparator/>
      </w:r>
    </w:p>
  </w:footnote>
  <w:footnote w:id="1">
    <w:p w14:paraId="08D5F449" w14:textId="77777777" w:rsidR="00CD1D34" w:rsidRPr="00EC1756" w:rsidRDefault="00CD1D34" w:rsidP="00CD1D34">
      <w:pPr>
        <w:pStyle w:val="FootnoteText"/>
        <w:ind w:left="180" w:hanging="180"/>
        <w:rPr>
          <w:i w:val="0"/>
          <w:sz w:val="14"/>
          <w:szCs w:val="14"/>
        </w:rPr>
      </w:pPr>
      <w:r w:rsidRPr="00EC1756">
        <w:rPr>
          <w:rStyle w:val="FootnoteReference"/>
          <w:i w:val="0"/>
          <w:sz w:val="14"/>
          <w:szCs w:val="14"/>
        </w:rPr>
        <w:footnoteRef/>
      </w:r>
      <w:r w:rsidRPr="00EC1756">
        <w:rPr>
          <w:i w:val="0"/>
          <w:sz w:val="14"/>
          <w:szCs w:val="14"/>
        </w:rPr>
        <w:t xml:space="preserve"> </w:t>
      </w:r>
      <w:r w:rsidRPr="00EC1756">
        <w:rPr>
          <w:i w:val="0"/>
          <w:sz w:val="14"/>
          <w:szCs w:val="14"/>
        </w:rPr>
        <w:tab/>
        <w:t>Less than 20 ft</w:t>
      </w:r>
      <w:r w:rsidRPr="00EC1756">
        <w:rPr>
          <w:i w:val="0"/>
          <w:sz w:val="14"/>
          <w:szCs w:val="14"/>
          <w:vertAlign w:val="superscript"/>
        </w:rPr>
        <w:t>2</w:t>
      </w:r>
      <w:r w:rsidRPr="00EC1756">
        <w:rPr>
          <w:i w:val="0"/>
          <w:sz w:val="14"/>
          <w:szCs w:val="14"/>
        </w:rPr>
        <w:t xml:space="preserve"> on exterior surfaces; 2 ft</w:t>
      </w:r>
      <w:r w:rsidRPr="00EC1756">
        <w:rPr>
          <w:i w:val="0"/>
          <w:sz w:val="14"/>
          <w:szCs w:val="14"/>
          <w:vertAlign w:val="superscript"/>
        </w:rPr>
        <w:t>2</w:t>
      </w:r>
      <w:r w:rsidRPr="00EC1756">
        <w:rPr>
          <w:i w:val="0"/>
          <w:sz w:val="14"/>
          <w:szCs w:val="14"/>
        </w:rPr>
        <w:t xml:space="preserve"> in any one interior room or space, or 10% of the total surface area on any interior or exterior type of component with a small surface area like window sills, baseboards or trim.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0B23D" w14:textId="77777777" w:rsidR="00CD1D34" w:rsidRPr="00DF2524" w:rsidRDefault="00CD1D34" w:rsidP="00CD1D34">
    <w:pPr>
      <w:pStyle w:val="BodyText2"/>
      <w:jc w:val="right"/>
    </w:pPr>
    <w:r w:rsidRPr="00DF2524">
      <w:rPr>
        <w:rFonts w:ascii="Arial" w:hAnsi="Arial" w:cs="Arial"/>
        <w:sz w:val="40"/>
        <w:szCs w:val="40"/>
        <w:bdr w:val="single" w:sz="4" w:space="0" w:color="auto"/>
      </w:rPr>
      <w:t>C</w:t>
    </w:r>
    <w:r>
      <w:rPr>
        <w:rFonts w:ascii="Arial" w:hAnsi="Arial" w:cs="Arial"/>
        <w:sz w:val="40"/>
        <w:szCs w:val="40"/>
        <w:bdr w:val="single" w:sz="4" w:space="0" w:color="auto"/>
      </w:rPr>
      <w:t>7</w:t>
    </w:r>
  </w:p>
  <w:p w14:paraId="21629738" w14:textId="77777777" w:rsidR="00CD1D34" w:rsidRDefault="00CD1D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D34"/>
    <w:rsid w:val="001D51A4"/>
    <w:rsid w:val="0028613F"/>
    <w:rsid w:val="005563EE"/>
    <w:rsid w:val="00637E58"/>
    <w:rsid w:val="006D2B42"/>
    <w:rsid w:val="007763FC"/>
    <w:rsid w:val="007E01B4"/>
    <w:rsid w:val="00945C0B"/>
    <w:rsid w:val="00AB5303"/>
    <w:rsid w:val="00C50A42"/>
    <w:rsid w:val="00CD1D34"/>
    <w:rsid w:val="00E04F95"/>
    <w:rsid w:val="00F0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57C48"/>
  <w15:docId w15:val="{06C2A92F-ECB3-4609-A426-7112B2C3B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CD1D3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D1D34"/>
    <w:pPr>
      <w:spacing w:after="120"/>
    </w:pPr>
    <w:rPr>
      <w:rFonts w:ascii="Arial" w:hAnsi="Arial"/>
      <w:i/>
      <w:iCs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1D34"/>
    <w:rPr>
      <w:rFonts w:ascii="Arial" w:eastAsia="Times New Roman" w:hAnsi="Arial" w:cs="Times New Roman"/>
      <w:i/>
      <w:iCs/>
      <w:sz w:val="18"/>
      <w:szCs w:val="20"/>
    </w:rPr>
  </w:style>
  <w:style w:type="paragraph" w:styleId="BodyText">
    <w:name w:val="Body Text"/>
    <w:basedOn w:val="Normal"/>
    <w:link w:val="BodyTextChar"/>
    <w:rsid w:val="00CD1D34"/>
    <w:rPr>
      <w:rFonts w:ascii="Arial" w:hAnsi="Arial" w:cs="Arial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CD1D34"/>
    <w:rPr>
      <w:rFonts w:ascii="Arial" w:eastAsia="Times New Roman" w:hAnsi="Arial" w:cs="Arial"/>
      <w:sz w:val="28"/>
      <w:szCs w:val="28"/>
    </w:rPr>
  </w:style>
  <w:style w:type="paragraph" w:styleId="BodyText2">
    <w:name w:val="Body Text 2"/>
    <w:basedOn w:val="Normal"/>
    <w:link w:val="BodyText2Char"/>
    <w:rsid w:val="00CD1D34"/>
    <w:pPr>
      <w:jc w:val="center"/>
    </w:pPr>
    <w:rPr>
      <w:b/>
      <w:sz w:val="34"/>
    </w:rPr>
  </w:style>
  <w:style w:type="character" w:customStyle="1" w:styleId="BodyText2Char">
    <w:name w:val="Body Text 2 Char"/>
    <w:basedOn w:val="DefaultParagraphFont"/>
    <w:link w:val="BodyText2"/>
    <w:rsid w:val="00CD1D34"/>
    <w:rPr>
      <w:rFonts w:ascii="Times New Roman" w:eastAsia="Times New Roman" w:hAnsi="Times New Roman" w:cs="Times New Roman"/>
      <w:b/>
      <w:sz w:val="34"/>
      <w:szCs w:val="24"/>
    </w:rPr>
  </w:style>
  <w:style w:type="paragraph" w:styleId="Header">
    <w:name w:val="header"/>
    <w:basedOn w:val="Normal"/>
    <w:link w:val="HeaderChar"/>
    <w:uiPriority w:val="99"/>
    <w:unhideWhenUsed/>
    <w:rsid w:val="00CD1D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1D3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1D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D3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5B71F-9AF6-4B1C-82BC-BECDFBCF9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Phares</dc:creator>
  <cp:lastModifiedBy>Michelle Phares</cp:lastModifiedBy>
  <cp:revision>3</cp:revision>
  <dcterms:created xsi:type="dcterms:W3CDTF">2020-08-04T15:36:00Z</dcterms:created>
  <dcterms:modified xsi:type="dcterms:W3CDTF">2020-08-18T15:09:00Z</dcterms:modified>
</cp:coreProperties>
</file>