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57" w:rsidRPr="00B03E57" w:rsidRDefault="00B03E57" w:rsidP="00B03E57">
      <w:pPr>
        <w:pStyle w:val="NormalWeb"/>
        <w:spacing w:before="77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u w:val="single"/>
        </w:rPr>
      </w:pPr>
      <w:r w:rsidRPr="00B03E5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u w:val="single"/>
        </w:rPr>
        <w:t xml:space="preserve">FAST </w:t>
      </w:r>
      <w:r w:rsidR="00023DF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u w:val="single"/>
        </w:rPr>
        <w:t xml:space="preserve">WEBINAR </w:t>
      </w:r>
      <w:r w:rsidRPr="00B03E5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u w:val="single"/>
        </w:rPr>
        <w:t>PROGRAM RESOURCES</w:t>
      </w:r>
    </w:p>
    <w:p w:rsidR="00B03E57" w:rsidRPr="00B03E57" w:rsidRDefault="00B03E57" w:rsidP="00B03E57">
      <w:pPr>
        <w:pStyle w:val="NormalWeb"/>
        <w:spacing w:before="77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32"/>
          <w:szCs w:val="32"/>
        </w:rPr>
      </w:pPr>
    </w:p>
    <w:p w:rsidR="00B03E57" w:rsidRDefault="00B91DBB" w:rsidP="00B03E57">
      <w:pPr>
        <w:pStyle w:val="NormalWeb"/>
        <w:spacing w:before="77" w:beforeAutospacing="0" w:after="0" w:afterAutospacing="0"/>
      </w:pPr>
      <w:hyperlink r:id="rId5" w:history="1">
        <w:r w:rsidR="00B03E57" w:rsidRPr="00B03E57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 xml:space="preserve">TxCDBG </w:t>
        </w:r>
      </w:hyperlink>
      <w:hyperlink r:id="rId6" w:history="1">
        <w:r w:rsidR="00B03E57" w:rsidRPr="00B03E57">
          <w:rPr>
            <w:rStyle w:val="Hyperlink"/>
            <w:rFonts w:asciiTheme="minorHAnsi" w:eastAsiaTheme="minorEastAsia" w:hAnsi="Calibri" w:cstheme="minorBidi"/>
            <w:b/>
            <w:bCs/>
            <w:i/>
            <w:iCs/>
            <w:color w:val="244061" w:themeColor="accent1" w:themeShade="80"/>
            <w:kern w:val="24"/>
            <w:sz w:val="32"/>
            <w:szCs w:val="32"/>
          </w:rPr>
          <w:t>FAST</w:t>
        </w:r>
      </w:hyperlink>
      <w:hyperlink r:id="rId7" w:history="1">
        <w:r w:rsidR="00B03E57" w:rsidRPr="00B03E57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 xml:space="preserve"> web page</w:t>
        </w:r>
      </w:hyperlink>
      <w:r w:rsidR="00B03E5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: </w:t>
      </w:r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application, application guide, verification request criteria, </w:t>
      </w:r>
      <w:r w:rsidR="00B03E57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FAST</w:t>
      </w:r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-At-A-GLANCE two-pager </w:t>
      </w:r>
    </w:p>
    <w:p w:rsidR="00B03E57" w:rsidRDefault="00B91DBB" w:rsidP="00B03E57">
      <w:pPr>
        <w:pStyle w:val="NormalWeb"/>
        <w:spacing w:before="77" w:beforeAutospacing="0" w:after="0" w:afterAutospacing="0"/>
      </w:pPr>
      <w:hyperlink r:id="rId8" w:history="1">
        <w:r w:rsidR="00B03E57" w:rsidRPr="00B03E57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>TxCDBG Training web page</w:t>
        </w:r>
      </w:hyperlink>
      <w:r w:rsidR="00B03E5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: </w:t>
      </w:r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TxCDBG and </w:t>
      </w:r>
      <w:r w:rsidR="00B03E57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FAST</w:t>
      </w:r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training schedu</w:t>
      </w:r>
      <w:r w:rsidR="003D32BF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le, webinar dial-in information</w:t>
      </w:r>
    </w:p>
    <w:p w:rsidR="00B03E57" w:rsidRDefault="00B91DBB" w:rsidP="00B03E57">
      <w:pPr>
        <w:pStyle w:val="NormalWeb"/>
        <w:spacing w:before="77" w:beforeAutospacing="0" w:after="0" w:afterAutospacing="0"/>
      </w:pPr>
      <w:hyperlink r:id="rId9" w:history="1">
        <w:r w:rsidR="00B03E57" w:rsidRPr="00B03E57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>TxCDBG Beneficiary Documentation web page</w:t>
        </w:r>
      </w:hyperlink>
      <w:r w:rsidR="00B03E5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: </w:t>
      </w:r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2019 LMISD data, survey methodology manual, questionnaires</w:t>
      </w:r>
    </w:p>
    <w:p w:rsidR="00B03E57" w:rsidRDefault="00B91DBB" w:rsidP="00B03E57">
      <w:pPr>
        <w:pStyle w:val="NormalWeb"/>
        <w:spacing w:before="77" w:beforeAutospacing="0" w:after="0" w:afterAutospacing="0"/>
      </w:pPr>
      <w:hyperlink r:id="rId10" w:history="1">
        <w:r w:rsidR="00B03E57" w:rsidRPr="00B03E57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>TxCDBG Professional Administrative Services web page</w:t>
        </w:r>
      </w:hyperlink>
      <w:r w:rsidR="00B03E5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:</w:t>
      </w:r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List of pre-qualified administrators, administrative procurement guidance for communities, Phase 2 solicitation forms</w:t>
      </w:r>
    </w:p>
    <w:p w:rsidR="00B03E57" w:rsidRDefault="00B91DBB" w:rsidP="00B03E57">
      <w:pPr>
        <w:pStyle w:val="NormalWeb"/>
        <w:spacing w:before="77" w:beforeAutospacing="0" w:after="0" w:afterAutospacing="0"/>
      </w:pPr>
      <w:hyperlink r:id="rId11" w:history="1">
        <w:r w:rsidR="00B03E57" w:rsidRPr="00B03E57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>TxCDBG Implementation Manual</w:t>
        </w:r>
      </w:hyperlink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: </w:t>
      </w:r>
      <w:r w:rsidR="00EA415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Chapter 5 Procurement Procedures, Chapter 3 Environmental Review procedures, Appendix D “Sample Administration Services RFP Packet”, Appendix H “Pre-Application Procurement Q&amp;A”, all procedures and forms associated with TxCDBG grant administration</w:t>
      </w:r>
    </w:p>
    <w:p w:rsidR="00B03E57" w:rsidRDefault="00B91DBB" w:rsidP="00B03E57">
      <w:pPr>
        <w:pStyle w:val="NormalWeb"/>
        <w:spacing w:before="77" w:beforeAutospacing="0" w:after="0" w:afterAutospacing="0"/>
      </w:pPr>
      <w:hyperlink r:id="rId12" w:history="1">
        <w:r w:rsidR="00B03E57" w:rsidRPr="00F506BD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>TxCDBG Listserv Signup</w:t>
        </w:r>
      </w:hyperlink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: sign up for TxCDBG and </w:t>
      </w:r>
      <w:r w:rsidR="00B03E57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FAST</w:t>
      </w:r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related announcements</w:t>
      </w:r>
    </w:p>
    <w:p w:rsidR="00B03E57" w:rsidRDefault="00B91DBB" w:rsidP="00B03E57">
      <w:pPr>
        <w:pStyle w:val="NormalWeb"/>
        <w:spacing w:before="77" w:beforeAutospacing="0" w:after="0" w:afterAutospacing="0"/>
      </w:pPr>
      <w:hyperlink r:id="rId13" w:history="1">
        <w:r w:rsidR="00B03E57" w:rsidRPr="00F506BD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>HUD Notice: CPD-19-02 Low- and Moderate Income Summary Data Updates</w:t>
        </w:r>
      </w:hyperlink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:  most recent LMISD data and methodology update</w:t>
      </w:r>
    </w:p>
    <w:p w:rsidR="00B03E57" w:rsidRDefault="00B91DBB" w:rsidP="00B03E57">
      <w:pPr>
        <w:pStyle w:val="NormalWeb"/>
        <w:spacing w:before="77" w:beforeAutospacing="0" w:after="0" w:afterAutospacing="0"/>
      </w:pPr>
      <w:hyperlink r:id="rId14" w:history="1">
        <w:r w:rsidR="00B03E57" w:rsidRPr="00F506BD">
          <w:rPr>
            <w:rStyle w:val="Hyperlink"/>
            <w:rFonts w:asciiTheme="minorHAnsi" w:eastAsiaTheme="minorEastAsia" w:hAnsi="Calibri" w:cstheme="minorBidi"/>
            <w:b/>
            <w:bCs/>
            <w:color w:val="244061" w:themeColor="accent1" w:themeShade="80"/>
            <w:kern w:val="24"/>
            <w:sz w:val="32"/>
            <w:szCs w:val="32"/>
          </w:rPr>
          <w:t>HUD Mapping Tool (Low- and Moderate Income Area Data based on 2011-2015 ACS)</w:t>
        </w:r>
      </w:hyperlink>
      <w:r w:rsidR="00B03E5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: helpful interactive mapping tool</w:t>
      </w:r>
    </w:p>
    <w:p w:rsidR="00CF79BA" w:rsidRDefault="00CF79BA"/>
    <w:p w:rsidR="00023DFC" w:rsidRDefault="00023DFC">
      <w:bookmarkStart w:id="0" w:name="_GoBack"/>
      <w:bookmarkEnd w:id="0"/>
    </w:p>
    <w:p w:rsidR="00023DFC" w:rsidRDefault="00023DFC"/>
    <w:p w:rsidR="00023DFC" w:rsidRDefault="00023DFC"/>
    <w:p w:rsidR="00023DFC" w:rsidRDefault="00023DFC"/>
    <w:p w:rsidR="00023DFC" w:rsidRDefault="00023DFC">
      <w:r>
        <w:t>March 21, 2019</w:t>
      </w:r>
    </w:p>
    <w:sectPr w:rsidR="0002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idTGd+22q1TdTQY0Oj3EwPJI8k=" w:salt="an63f4GbqzbvouN1aQfkE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57"/>
    <w:rsid w:val="00023DFC"/>
    <w:rsid w:val="003D32BF"/>
    <w:rsid w:val="003D74C5"/>
    <w:rsid w:val="004455F8"/>
    <w:rsid w:val="00B03E57"/>
    <w:rsid w:val="00B91DBB"/>
    <w:rsid w:val="00CF79BA"/>
    <w:rsid w:val="00EA415B"/>
    <w:rsid w:val="00F506BD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3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3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agriculture.gov/GrantsServices/RuralEconomicDevelopment/RuralCommunityDevelopmentBlockGrant(CDBG)/Training.aspx" TargetMode="External"/><Relationship Id="rId13" Type="http://schemas.openxmlformats.org/officeDocument/2006/relationships/hyperlink" Target="https://www.hudexchange.info/resources/documents/Notice-CPD-1902-Low-and-Moderate-Income-Summary-Data-Upda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xasagriculture.gov/GrantsServices/RuralEconomicDevelopment/RuralCommunityDevelopmentBlockGrant(CDBG)/CDBGResources/Applications/FASTFund.aspx" TargetMode="External"/><Relationship Id="rId12" Type="http://schemas.openxmlformats.org/officeDocument/2006/relationships/hyperlink" Target="http://lists.state.tx.us/mailman/listinfo/cdb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xasagriculture.gov/GrantsServices/RuralEconomicDevelopment/RuralCommunityDevelopmentBlockGrant(CDBG)/CDBGResources/Applications/FASTFund.aspx" TargetMode="External"/><Relationship Id="rId11" Type="http://schemas.openxmlformats.org/officeDocument/2006/relationships/hyperlink" Target="https://www.texasagriculture.gov/GrantsServices/RuralEconomicDevelopment/RuralCommunityDevelopmentBlockGrant(CDBG)/Forms.aspx" TargetMode="External"/><Relationship Id="rId5" Type="http://schemas.openxmlformats.org/officeDocument/2006/relationships/hyperlink" Target="https://www.texasagriculture.gov/GrantsServices/RuralEconomicDevelopment/RuralCommunityDevelopmentBlockGrant(CDBG)/CDBGResources/Applications/FASTFund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exasagriculture.gov/GrantsServices/RuralEconomicDevelopment/RuralCommunityDevelopmentBlockGrant(CDBG)/PrequalifiedProfessionalServic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xasagriculture.gov/GrantsServices/RuralEconomicDevelopment/RuralCommunityDevelopmentBlockGrant(CDBG)/CDBGResources/BeneficiaryDocumentation.aspx" TargetMode="External"/><Relationship Id="rId14" Type="http://schemas.openxmlformats.org/officeDocument/2006/relationships/hyperlink" Target="https://hud.maps.arcgis.com/apps/webappviewer/index.html?id=ffd0597e8af24f88b501b7e7f326be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Phares</dc:creator>
  <cp:lastModifiedBy>Michelle Phares</cp:lastModifiedBy>
  <cp:revision>10</cp:revision>
  <dcterms:created xsi:type="dcterms:W3CDTF">2019-03-21T16:25:00Z</dcterms:created>
  <dcterms:modified xsi:type="dcterms:W3CDTF">2019-03-21T20:26:00Z</dcterms:modified>
</cp:coreProperties>
</file>